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E2" w:rsidRPr="00267DC2" w:rsidRDefault="00573EE2" w:rsidP="00573EE2">
      <w:pPr>
        <w:rPr>
          <w:rFonts w:ascii="Times New Roman" w:hAnsi="Times New Roman" w:cs="Times New Roman"/>
          <w:b/>
          <w:sz w:val="28"/>
          <w:szCs w:val="28"/>
        </w:rPr>
      </w:pPr>
      <w:r w:rsidRPr="00482B30">
        <w:rPr>
          <w:rFonts w:ascii="Times New Roman" w:hAnsi="Times New Roman" w:cs="Times New Roman"/>
          <w:b/>
          <w:sz w:val="32"/>
          <w:szCs w:val="32"/>
          <w:u w:val="single"/>
        </w:rPr>
        <w:t>RESEARCH AND EXTENSION LETURE CELL</w:t>
      </w:r>
    </w:p>
    <w:p w:rsidR="00573EE2" w:rsidRDefault="00573EE2" w:rsidP="00573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every Friday, we organize Extension Lectures of eminent scholars from various fields and even our faculty members also deliver lectures on different topics other than their own teaching subjects. </w:t>
      </w:r>
      <w:r w:rsidRPr="00D04BA3">
        <w:rPr>
          <w:rFonts w:ascii="Times New Roman" w:hAnsi="Times New Roman" w:cs="Times New Roman"/>
          <w:sz w:val="28"/>
          <w:szCs w:val="28"/>
        </w:rPr>
        <w:t xml:space="preserve">The following </w:t>
      </w:r>
      <w:r>
        <w:rPr>
          <w:rFonts w:ascii="Times New Roman" w:hAnsi="Times New Roman" w:cs="Times New Roman"/>
          <w:sz w:val="28"/>
          <w:szCs w:val="28"/>
        </w:rPr>
        <w:t xml:space="preserve">expert </w:t>
      </w:r>
      <w:r w:rsidRPr="00D04BA3">
        <w:rPr>
          <w:rFonts w:ascii="Times New Roman" w:hAnsi="Times New Roman" w:cs="Times New Roman"/>
          <w:sz w:val="28"/>
          <w:szCs w:val="28"/>
        </w:rPr>
        <w:t xml:space="preserve">extension lectures </w:t>
      </w:r>
      <w:r>
        <w:rPr>
          <w:rFonts w:ascii="Times New Roman" w:hAnsi="Times New Roman" w:cs="Times New Roman"/>
          <w:sz w:val="28"/>
          <w:szCs w:val="28"/>
        </w:rPr>
        <w:t xml:space="preserve">and workshops </w:t>
      </w:r>
      <w:r w:rsidRPr="00D04BA3">
        <w:rPr>
          <w:rFonts w:ascii="Times New Roman" w:hAnsi="Times New Roman" w:cs="Times New Roman"/>
          <w:sz w:val="28"/>
          <w:szCs w:val="28"/>
        </w:rPr>
        <w:t>were organized by Internal Quality Assurance Cell (IQAC) till date:-</w:t>
      </w:r>
    </w:p>
    <w:p w:rsidR="00573EE2" w:rsidRDefault="00573EE2" w:rsidP="00573E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1665E">
        <w:rPr>
          <w:rFonts w:ascii="Times New Roman" w:hAnsi="Times New Roman" w:cs="Times New Roman"/>
          <w:b/>
          <w:sz w:val="32"/>
          <w:szCs w:val="32"/>
          <w:u w:val="single"/>
        </w:rPr>
        <w:t>EXTENSION LECTURES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610"/>
        <w:gridCol w:w="5958"/>
      </w:tblGrid>
      <w:tr w:rsidR="00573EE2" w:rsidTr="00724529">
        <w:trPr>
          <w:jc w:val="center"/>
        </w:trPr>
        <w:tc>
          <w:tcPr>
            <w:tcW w:w="1008" w:type="dxa"/>
          </w:tcPr>
          <w:p w:rsidR="00573EE2" w:rsidRPr="0011665E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65E"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2610" w:type="dxa"/>
          </w:tcPr>
          <w:p w:rsidR="00573EE2" w:rsidRPr="0011665E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65E">
              <w:rPr>
                <w:rFonts w:ascii="Times New Roman" w:hAnsi="Times New Roman" w:cs="Times New Roman"/>
                <w:b/>
                <w:sz w:val="28"/>
                <w:szCs w:val="28"/>
              </w:rPr>
              <w:t>EXPERT</w:t>
            </w:r>
          </w:p>
        </w:tc>
        <w:tc>
          <w:tcPr>
            <w:tcW w:w="5958" w:type="dxa"/>
          </w:tcPr>
          <w:p w:rsidR="00573EE2" w:rsidRPr="0011665E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65E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Dr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Amit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Kauts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Educational Technology and its basic concepts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J. 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Walia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Learner as Bio Psycho Social entity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M. 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Hundal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Education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D. 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Vij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Contemporary teacher education – Major issues and concerns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Satinder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Dhillon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Education in India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Dr. S.D. Singh</w:t>
            </w:r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Values and the role of teacher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Nidhi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Aggarwal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Education – The Changing role of the teacher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Bhawna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Agre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Motivation in India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Praveen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Thukral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Teacher Education in India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Kanchan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Kohli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Vision of Education and Role of teacher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Shingara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Singh</w:t>
            </w:r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Right to Education Act 2009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Satinder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Pal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Kaur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Gill</w:t>
            </w:r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Professionalism in Teacher Education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R. 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Bawa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Development of education system in India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Pramod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Kumar</w:t>
            </w:r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Changing  Scenario of Teacher Education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Heera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Singh</w:t>
            </w:r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Moral values and its degradation in the prevailing society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Bharti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Dhawan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AIDS -  A Chronic Disease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Surinder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Pal Singh</w:t>
            </w:r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Traffic Rules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Jagjit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Singh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Randhawa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Records and Registers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Rachna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Arora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Environment Protection Act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Harpreet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Singh</w:t>
            </w:r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 Learning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Sanjeev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Khowal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to prevent ourselves from AIDS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Prema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Jha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Quality Education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Vineet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Kumar</w:t>
            </w:r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Banking and its functions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Harkirandeep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Human Rights Act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Swarnjit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Limitations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Allopathy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medicines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Simran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Puar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Teaching and Learning Styles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Rachna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Arora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Right To Information (RTI)Act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Seema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Vyas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Oral Hygiene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Navjeet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Kaur</w:t>
            </w:r>
            <w:proofErr w:type="spellEnd"/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Diseases of Teeth</w:t>
            </w:r>
          </w:p>
        </w:tc>
      </w:tr>
      <w:tr w:rsidR="00573EE2" w:rsidTr="00724529">
        <w:trPr>
          <w:jc w:val="center"/>
        </w:trPr>
        <w:tc>
          <w:tcPr>
            <w:tcW w:w="1008" w:type="dxa"/>
          </w:tcPr>
          <w:p w:rsidR="00573EE2" w:rsidRPr="00D04BA3" w:rsidRDefault="00573EE2" w:rsidP="00724529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Vimaljeet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Singh</w:t>
            </w:r>
          </w:p>
        </w:tc>
        <w:tc>
          <w:tcPr>
            <w:tcW w:w="5958" w:type="dxa"/>
          </w:tcPr>
          <w:p w:rsidR="00573EE2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About AIDS – One Must Know</w:t>
            </w:r>
          </w:p>
        </w:tc>
      </w:tr>
    </w:tbl>
    <w:p w:rsidR="00573EE2" w:rsidRDefault="00573EE2" w:rsidP="00573E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EE2" w:rsidRDefault="00573EE2" w:rsidP="00573E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EE2" w:rsidRDefault="00573EE2" w:rsidP="00573EE2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1665E">
        <w:rPr>
          <w:rFonts w:ascii="Times New Roman" w:hAnsi="Times New Roman" w:cs="Times New Roman"/>
          <w:b/>
          <w:sz w:val="32"/>
          <w:szCs w:val="32"/>
          <w:u w:val="single"/>
        </w:rPr>
        <w:t>WORKSHOPS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420"/>
        <w:gridCol w:w="5148"/>
      </w:tblGrid>
      <w:tr w:rsidR="00573EE2" w:rsidTr="00724529">
        <w:tc>
          <w:tcPr>
            <w:tcW w:w="1008" w:type="dxa"/>
          </w:tcPr>
          <w:p w:rsidR="00573EE2" w:rsidRPr="0011665E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65E"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3420" w:type="dxa"/>
          </w:tcPr>
          <w:p w:rsidR="00573EE2" w:rsidRPr="0011665E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65E">
              <w:rPr>
                <w:rFonts w:ascii="Times New Roman" w:hAnsi="Times New Roman" w:cs="Times New Roman"/>
                <w:b/>
                <w:sz w:val="28"/>
                <w:szCs w:val="28"/>
              </w:rPr>
              <w:t>EXPERT</w:t>
            </w:r>
          </w:p>
        </w:tc>
        <w:tc>
          <w:tcPr>
            <w:tcW w:w="5148" w:type="dxa"/>
          </w:tcPr>
          <w:p w:rsidR="00573EE2" w:rsidRPr="0011665E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65E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573EE2" w:rsidTr="00724529">
        <w:tc>
          <w:tcPr>
            <w:tcW w:w="1008" w:type="dxa"/>
          </w:tcPr>
          <w:p w:rsidR="00573EE2" w:rsidRPr="0011665E" w:rsidRDefault="00573EE2" w:rsidP="00724529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a). Dr. Sunil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Jaithy</w:t>
            </w:r>
            <w:proofErr w:type="spellEnd"/>
          </w:p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b). 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Anupama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Arora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48" w:type="dxa"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Communication Skills and Resume Writing</w:t>
            </w:r>
          </w:p>
        </w:tc>
      </w:tr>
      <w:tr w:rsidR="00573EE2" w:rsidTr="00724529">
        <w:tc>
          <w:tcPr>
            <w:tcW w:w="1008" w:type="dxa"/>
          </w:tcPr>
          <w:p w:rsidR="00573EE2" w:rsidRPr="0011665E" w:rsidRDefault="00573EE2" w:rsidP="0072452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a). 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Vanita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Sharma,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Assistant Professor</w:t>
            </w:r>
          </w:p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b). 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Sarbjit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Kaur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, Assistant Professor</w:t>
            </w:r>
          </w:p>
        </w:tc>
        <w:tc>
          <w:tcPr>
            <w:tcW w:w="5148" w:type="dxa"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INTEL TEACH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</w:p>
        </w:tc>
      </w:tr>
      <w:tr w:rsidR="00573EE2" w:rsidTr="00724529">
        <w:tc>
          <w:tcPr>
            <w:tcW w:w="1008" w:type="dxa"/>
          </w:tcPr>
          <w:p w:rsidR="00573EE2" w:rsidRPr="0011665E" w:rsidRDefault="00573EE2" w:rsidP="0072452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Meenu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Sharma</w:t>
            </w:r>
          </w:p>
        </w:tc>
        <w:tc>
          <w:tcPr>
            <w:tcW w:w="5148" w:type="dxa"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Communication Skills</w:t>
            </w:r>
          </w:p>
        </w:tc>
      </w:tr>
      <w:tr w:rsidR="00573EE2" w:rsidTr="00724529">
        <w:tc>
          <w:tcPr>
            <w:tcW w:w="1008" w:type="dxa"/>
          </w:tcPr>
          <w:p w:rsidR="00573EE2" w:rsidRPr="0011665E" w:rsidRDefault="00573EE2" w:rsidP="0072452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a). 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Vanita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Sharma, Assistant Professor</w:t>
            </w:r>
          </w:p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b). Mr.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Pardeep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Pal Singh, Assistant Professor</w:t>
            </w:r>
          </w:p>
        </w:tc>
        <w:tc>
          <w:tcPr>
            <w:tcW w:w="5148" w:type="dxa"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Know your Computer</w:t>
            </w:r>
          </w:p>
        </w:tc>
      </w:tr>
      <w:tr w:rsidR="00573EE2" w:rsidTr="00724529">
        <w:tc>
          <w:tcPr>
            <w:tcW w:w="1008" w:type="dxa"/>
          </w:tcPr>
          <w:p w:rsidR="00573EE2" w:rsidRDefault="00573EE2" w:rsidP="00724529">
            <w:pPr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2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Mr. Deepak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Snehi</w:t>
            </w:r>
            <w:proofErr w:type="spellEnd"/>
          </w:p>
        </w:tc>
        <w:tc>
          <w:tcPr>
            <w:tcW w:w="5148" w:type="dxa"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Student Empowerment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</w:t>
            </w:r>
            <w:proofErr w:type="spellEnd"/>
          </w:p>
        </w:tc>
      </w:tr>
    </w:tbl>
    <w:p w:rsidR="00573EE2" w:rsidRDefault="00573EE2" w:rsidP="00573E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3EE2" w:rsidRDefault="00573EE2" w:rsidP="00573EE2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05CAE">
        <w:rPr>
          <w:rFonts w:ascii="Times New Roman" w:hAnsi="Times New Roman" w:cs="Times New Roman"/>
          <w:b/>
          <w:sz w:val="32"/>
          <w:szCs w:val="32"/>
          <w:u w:val="single"/>
        </w:rPr>
        <w:t>3. LECTURES BY FACULTY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420"/>
        <w:gridCol w:w="5148"/>
      </w:tblGrid>
      <w:tr w:rsidR="00573EE2" w:rsidTr="00724529">
        <w:tc>
          <w:tcPr>
            <w:tcW w:w="1008" w:type="dxa"/>
          </w:tcPr>
          <w:p w:rsidR="00573EE2" w:rsidRPr="0011665E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65E">
              <w:rPr>
                <w:rFonts w:ascii="Times New Roman" w:hAnsi="Times New Roman" w:cs="Times New Roman"/>
                <w:b/>
                <w:sz w:val="28"/>
                <w:szCs w:val="28"/>
              </w:rPr>
              <w:t>S. NO.</w:t>
            </w:r>
          </w:p>
        </w:tc>
        <w:tc>
          <w:tcPr>
            <w:tcW w:w="3420" w:type="dxa"/>
          </w:tcPr>
          <w:p w:rsidR="00573EE2" w:rsidRPr="0011665E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65E">
              <w:rPr>
                <w:rFonts w:ascii="Times New Roman" w:hAnsi="Times New Roman" w:cs="Times New Roman"/>
                <w:b/>
                <w:sz w:val="28"/>
                <w:szCs w:val="28"/>
              </w:rPr>
              <w:t>EXPERT</w:t>
            </w:r>
          </w:p>
        </w:tc>
        <w:tc>
          <w:tcPr>
            <w:tcW w:w="5148" w:type="dxa"/>
          </w:tcPr>
          <w:p w:rsidR="00573EE2" w:rsidRPr="0011665E" w:rsidRDefault="00573EE2" w:rsidP="007245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65E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</w:tr>
      <w:tr w:rsidR="00573EE2" w:rsidTr="00724529">
        <w:tc>
          <w:tcPr>
            <w:tcW w:w="1008" w:type="dxa"/>
            <w:vMerge w:val="restart"/>
          </w:tcPr>
          <w:p w:rsidR="00573EE2" w:rsidRPr="0021623B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1623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vMerge w:val="restart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Vanita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Sharma,</w:t>
            </w:r>
          </w:p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Assistant Professor</w:t>
            </w:r>
          </w:p>
        </w:tc>
        <w:tc>
          <w:tcPr>
            <w:tcW w:w="5148" w:type="dxa"/>
          </w:tcPr>
          <w:p w:rsidR="00573EE2" w:rsidRPr="00C96942" w:rsidRDefault="00573EE2" w:rsidP="0072452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42">
              <w:rPr>
                <w:rFonts w:ascii="Times New Roman" w:hAnsi="Times New Roman" w:cs="Times New Roman"/>
                <w:sz w:val="28"/>
                <w:szCs w:val="28"/>
              </w:rPr>
              <w:t>Importance of Teacher’s Day in India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C96942" w:rsidRDefault="00573EE2" w:rsidP="0072452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42">
              <w:rPr>
                <w:rFonts w:ascii="Times New Roman" w:hAnsi="Times New Roman" w:cs="Times New Roman"/>
                <w:sz w:val="28"/>
                <w:szCs w:val="28"/>
              </w:rPr>
              <w:t>Development of Education System – Ancient to Present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C96942" w:rsidRDefault="00573EE2" w:rsidP="0072452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42">
              <w:rPr>
                <w:rFonts w:ascii="Times New Roman" w:hAnsi="Times New Roman" w:cs="Times New Roman"/>
                <w:sz w:val="28"/>
                <w:szCs w:val="28"/>
              </w:rPr>
              <w:t>Life Skills Education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C96942" w:rsidRDefault="00573EE2" w:rsidP="0072452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42">
              <w:rPr>
                <w:rFonts w:ascii="Times New Roman" w:hAnsi="Times New Roman" w:cs="Times New Roman"/>
                <w:sz w:val="28"/>
                <w:szCs w:val="28"/>
              </w:rPr>
              <w:t>Time Management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C96942" w:rsidRDefault="00573EE2" w:rsidP="0072452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42">
              <w:rPr>
                <w:rFonts w:ascii="Times New Roman" w:hAnsi="Times New Roman" w:cs="Times New Roman"/>
                <w:sz w:val="28"/>
                <w:szCs w:val="28"/>
              </w:rPr>
              <w:t>Role or Status of teacher in the present context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C96942" w:rsidRDefault="00573EE2" w:rsidP="0072452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42">
              <w:rPr>
                <w:rFonts w:ascii="Times New Roman" w:hAnsi="Times New Roman" w:cs="Times New Roman"/>
                <w:sz w:val="28"/>
                <w:szCs w:val="28"/>
              </w:rPr>
              <w:t>Importance of PowerPoint Presentation Template  (PPT) in Education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C96942" w:rsidRDefault="00573EE2" w:rsidP="0072452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42">
              <w:rPr>
                <w:rFonts w:ascii="Times New Roman" w:hAnsi="Times New Roman" w:cs="Times New Roman"/>
                <w:sz w:val="28"/>
                <w:szCs w:val="28"/>
              </w:rPr>
              <w:t>Blended Learning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C96942" w:rsidRDefault="00573EE2" w:rsidP="0072452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42">
              <w:rPr>
                <w:rFonts w:ascii="Times New Roman" w:hAnsi="Times New Roman" w:cs="Times New Roman"/>
                <w:sz w:val="28"/>
                <w:szCs w:val="28"/>
              </w:rPr>
              <w:t>Virtual Classroom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C96942" w:rsidRDefault="00573EE2" w:rsidP="0072452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42">
              <w:rPr>
                <w:rFonts w:ascii="Times New Roman" w:hAnsi="Times New Roman" w:cs="Times New Roman"/>
                <w:sz w:val="28"/>
                <w:szCs w:val="28"/>
              </w:rPr>
              <w:t>Responsibility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C96942" w:rsidRDefault="00573EE2" w:rsidP="0072452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42">
              <w:rPr>
                <w:rFonts w:ascii="Times New Roman" w:hAnsi="Times New Roman" w:cs="Times New Roman"/>
                <w:sz w:val="28"/>
                <w:szCs w:val="28"/>
              </w:rPr>
              <w:t>How to stay POSITIVE in tough work environment.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C96942" w:rsidRDefault="00573EE2" w:rsidP="0072452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42">
              <w:rPr>
                <w:rFonts w:ascii="Times New Roman" w:hAnsi="Times New Roman" w:cs="Times New Roman"/>
                <w:sz w:val="28"/>
                <w:szCs w:val="28"/>
              </w:rPr>
              <w:t>Indian Education System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C96942" w:rsidRDefault="00573EE2" w:rsidP="00724529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942">
              <w:rPr>
                <w:rFonts w:ascii="Times New Roman" w:hAnsi="Times New Roman" w:cs="Times New Roman"/>
                <w:sz w:val="28"/>
                <w:szCs w:val="28"/>
              </w:rPr>
              <w:t xml:space="preserve">Self Esteem </w:t>
            </w:r>
          </w:p>
        </w:tc>
      </w:tr>
      <w:tr w:rsidR="00573EE2" w:rsidTr="00724529">
        <w:tc>
          <w:tcPr>
            <w:tcW w:w="1008" w:type="dxa"/>
            <w:vMerge w:val="restart"/>
          </w:tcPr>
          <w:p w:rsidR="00573EE2" w:rsidRPr="00AB557B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B557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420" w:type="dxa"/>
            <w:vMerge w:val="restart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Kawalbir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Kaur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Assistant Professor</w:t>
            </w:r>
          </w:p>
        </w:tc>
        <w:tc>
          <w:tcPr>
            <w:tcW w:w="5148" w:type="dxa"/>
          </w:tcPr>
          <w:p w:rsidR="00573EE2" w:rsidRPr="00AB557B" w:rsidRDefault="00573EE2" w:rsidP="0072452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57B">
              <w:rPr>
                <w:rFonts w:ascii="Times New Roman" w:hAnsi="Times New Roman" w:cs="Times New Roman"/>
                <w:sz w:val="28"/>
                <w:szCs w:val="28"/>
              </w:rPr>
              <w:t xml:space="preserve">Life Sketch of </w:t>
            </w:r>
            <w:proofErr w:type="spellStart"/>
            <w:r w:rsidRPr="00AB557B">
              <w:rPr>
                <w:rFonts w:ascii="Times New Roman" w:hAnsi="Times New Roman" w:cs="Times New Roman"/>
                <w:sz w:val="28"/>
                <w:szCs w:val="28"/>
              </w:rPr>
              <w:t>Rabinder</w:t>
            </w:r>
            <w:proofErr w:type="spellEnd"/>
            <w:r w:rsidRPr="00AB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57B">
              <w:rPr>
                <w:rFonts w:ascii="Times New Roman" w:hAnsi="Times New Roman" w:cs="Times New Roman"/>
                <w:sz w:val="28"/>
                <w:szCs w:val="28"/>
              </w:rPr>
              <w:t>Nath</w:t>
            </w:r>
            <w:proofErr w:type="spellEnd"/>
            <w:r w:rsidRPr="00AB557B">
              <w:rPr>
                <w:rFonts w:ascii="Times New Roman" w:hAnsi="Times New Roman" w:cs="Times New Roman"/>
                <w:sz w:val="28"/>
                <w:szCs w:val="28"/>
              </w:rPr>
              <w:t xml:space="preserve"> Tagore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Pr="00AB557B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AB557B" w:rsidRDefault="00573EE2" w:rsidP="0072452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57B">
              <w:rPr>
                <w:rFonts w:ascii="Times New Roman" w:hAnsi="Times New Roman" w:cs="Times New Roman"/>
                <w:sz w:val="28"/>
                <w:szCs w:val="28"/>
              </w:rPr>
              <w:t>Stress Management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Pr="00AB557B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AB557B" w:rsidRDefault="00573EE2" w:rsidP="0072452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57B">
              <w:rPr>
                <w:rFonts w:ascii="Times New Roman" w:hAnsi="Times New Roman" w:cs="Times New Roman"/>
                <w:sz w:val="28"/>
                <w:szCs w:val="28"/>
              </w:rPr>
              <w:t>Micro Teaching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Pr="00AB557B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AB557B" w:rsidRDefault="00573EE2" w:rsidP="0072452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57B">
              <w:rPr>
                <w:rFonts w:ascii="Times New Roman" w:hAnsi="Times New Roman" w:cs="Times New Roman"/>
                <w:sz w:val="28"/>
                <w:szCs w:val="28"/>
              </w:rPr>
              <w:t>Defence</w:t>
            </w:r>
            <w:proofErr w:type="spellEnd"/>
            <w:r w:rsidRPr="00AB557B">
              <w:rPr>
                <w:rFonts w:ascii="Times New Roman" w:hAnsi="Times New Roman" w:cs="Times New Roman"/>
                <w:sz w:val="28"/>
                <w:szCs w:val="28"/>
              </w:rPr>
              <w:t xml:space="preserve"> Mechanism</w:t>
            </w:r>
          </w:p>
        </w:tc>
      </w:tr>
      <w:tr w:rsidR="00573EE2" w:rsidTr="00724529">
        <w:tc>
          <w:tcPr>
            <w:tcW w:w="1008" w:type="dxa"/>
            <w:vMerge w:val="restart"/>
          </w:tcPr>
          <w:p w:rsidR="00573EE2" w:rsidRPr="00AB557B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B557B"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3420" w:type="dxa"/>
            <w:vMerge w:val="restart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Sarbjit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Kaur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Assistant Professor</w:t>
            </w:r>
          </w:p>
        </w:tc>
        <w:tc>
          <w:tcPr>
            <w:tcW w:w="5148" w:type="dxa"/>
          </w:tcPr>
          <w:p w:rsidR="00573EE2" w:rsidRPr="00AB557B" w:rsidRDefault="00573EE2" w:rsidP="007245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57B">
              <w:rPr>
                <w:rFonts w:ascii="Times New Roman" w:hAnsi="Times New Roman" w:cs="Times New Roman"/>
                <w:sz w:val="28"/>
                <w:szCs w:val="28"/>
              </w:rPr>
              <w:t>Project Based Learning (PBL) in context to 21</w:t>
            </w:r>
            <w:r w:rsidRPr="00AB55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st</w:t>
            </w:r>
            <w:r w:rsidRPr="00AB557B">
              <w:rPr>
                <w:rFonts w:ascii="Times New Roman" w:hAnsi="Times New Roman" w:cs="Times New Roman"/>
                <w:sz w:val="28"/>
                <w:szCs w:val="28"/>
              </w:rPr>
              <w:t xml:space="preserve"> Century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AB557B" w:rsidRDefault="00573EE2" w:rsidP="007245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57B">
              <w:rPr>
                <w:rFonts w:ascii="Times New Roman" w:hAnsi="Times New Roman" w:cs="Times New Roman"/>
                <w:sz w:val="28"/>
                <w:szCs w:val="28"/>
              </w:rPr>
              <w:t xml:space="preserve">Right To Education(RTE) 2009 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AB557B" w:rsidRDefault="00573EE2" w:rsidP="007245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57B">
              <w:rPr>
                <w:rFonts w:ascii="Times New Roman" w:hAnsi="Times New Roman" w:cs="Times New Roman"/>
                <w:sz w:val="28"/>
                <w:szCs w:val="28"/>
              </w:rPr>
              <w:t>Stress Management</w:t>
            </w:r>
          </w:p>
        </w:tc>
      </w:tr>
      <w:tr w:rsidR="00573EE2" w:rsidTr="00724529">
        <w:tc>
          <w:tcPr>
            <w:tcW w:w="1008" w:type="dxa"/>
            <w:vMerge w:val="restart"/>
          </w:tcPr>
          <w:p w:rsidR="00573EE2" w:rsidRPr="005E214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1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  <w:vMerge w:val="restart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Meenu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Chaudhary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Assistant Professor</w:t>
            </w:r>
          </w:p>
        </w:tc>
        <w:tc>
          <w:tcPr>
            <w:tcW w:w="5148" w:type="dxa"/>
          </w:tcPr>
          <w:p w:rsidR="00573EE2" w:rsidRPr="007A6143" w:rsidRDefault="00573EE2" w:rsidP="0072452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Conflict Resolution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Pr="005E214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573EE2" w:rsidRPr="007A6143" w:rsidRDefault="00573EE2" w:rsidP="0072452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Oaths given by Dr. APJ Abdul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Kalam</w:t>
            </w:r>
            <w:proofErr w:type="spellEnd"/>
          </w:p>
        </w:tc>
      </w:tr>
      <w:tr w:rsidR="00573EE2" w:rsidTr="00724529">
        <w:tc>
          <w:tcPr>
            <w:tcW w:w="1008" w:type="dxa"/>
            <w:vMerge/>
          </w:tcPr>
          <w:p w:rsidR="00573EE2" w:rsidRPr="005E214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573EE2" w:rsidRPr="007A6143" w:rsidRDefault="00573EE2" w:rsidP="0072452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Inclusive Education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Pr="005E214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573EE2" w:rsidRDefault="00573EE2" w:rsidP="0072452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Ethics of Teaching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Pr="005E214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573EE2" w:rsidRDefault="00573EE2" w:rsidP="0072452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Self Orientation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into a culture of peace and values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Pr="005E214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573EE2" w:rsidRDefault="00573EE2" w:rsidP="0072452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to prepare Book Review</w:t>
            </w:r>
          </w:p>
        </w:tc>
      </w:tr>
      <w:tr w:rsidR="00573EE2" w:rsidTr="00724529">
        <w:tc>
          <w:tcPr>
            <w:tcW w:w="1008" w:type="dxa"/>
            <w:vMerge w:val="restart"/>
          </w:tcPr>
          <w:p w:rsidR="00573EE2" w:rsidRPr="005E214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E214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3420" w:type="dxa"/>
            <w:vMerge w:val="restart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Namreta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Panju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Assistant Professor</w:t>
            </w:r>
          </w:p>
        </w:tc>
        <w:tc>
          <w:tcPr>
            <w:tcW w:w="5148" w:type="dxa"/>
          </w:tcPr>
          <w:p w:rsidR="00573EE2" w:rsidRPr="00482B30" w:rsidRDefault="00573EE2" w:rsidP="00573EE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sz w:val="28"/>
                <w:szCs w:val="28"/>
              </w:rPr>
              <w:t xml:space="preserve">Life Sketch of Dr. </w:t>
            </w:r>
            <w:proofErr w:type="spellStart"/>
            <w:r w:rsidRPr="00482B30">
              <w:rPr>
                <w:rFonts w:ascii="Times New Roman" w:hAnsi="Times New Roman" w:cs="Times New Roman"/>
                <w:sz w:val="28"/>
                <w:szCs w:val="28"/>
              </w:rPr>
              <w:t>Sarvpalli</w:t>
            </w:r>
            <w:proofErr w:type="spellEnd"/>
            <w:r w:rsidRPr="00482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sz w:val="28"/>
                <w:szCs w:val="28"/>
              </w:rPr>
              <w:t>Radhakrishanan</w:t>
            </w:r>
            <w:proofErr w:type="spellEnd"/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482B30" w:rsidRDefault="00573EE2" w:rsidP="00573EE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sz w:val="28"/>
                <w:szCs w:val="28"/>
              </w:rPr>
              <w:t>Micro Teaching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148" w:type="dxa"/>
          </w:tcPr>
          <w:p w:rsidR="00573EE2" w:rsidRPr="007A6143" w:rsidRDefault="00573EE2" w:rsidP="00573EE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143">
              <w:rPr>
                <w:rFonts w:ascii="Times New Roman" w:hAnsi="Times New Roman" w:cs="Times New Roman"/>
                <w:sz w:val="28"/>
                <w:szCs w:val="28"/>
              </w:rPr>
              <w:t>Continous</w:t>
            </w:r>
            <w:proofErr w:type="spellEnd"/>
            <w:r w:rsidRPr="007A6143">
              <w:rPr>
                <w:rFonts w:ascii="Times New Roman" w:hAnsi="Times New Roman" w:cs="Times New Roman"/>
                <w:sz w:val="28"/>
                <w:szCs w:val="28"/>
              </w:rPr>
              <w:t xml:space="preserve"> Comprehensive Evaluation (CCE)</w:t>
            </w:r>
          </w:p>
        </w:tc>
      </w:tr>
      <w:tr w:rsidR="00573EE2" w:rsidTr="00724529">
        <w:tc>
          <w:tcPr>
            <w:tcW w:w="1008" w:type="dxa"/>
            <w:vMerge w:val="restart"/>
          </w:tcPr>
          <w:p w:rsidR="00573EE2" w:rsidRPr="005E214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1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20" w:type="dxa"/>
            <w:vMerge w:val="restart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Mr.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Pardeep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Pal Singh,</w:t>
            </w:r>
          </w:p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Assistant Professor</w:t>
            </w:r>
          </w:p>
        </w:tc>
        <w:tc>
          <w:tcPr>
            <w:tcW w:w="5148" w:type="dxa"/>
          </w:tcPr>
          <w:p w:rsidR="00573EE2" w:rsidRPr="005E2142" w:rsidRDefault="00573EE2" w:rsidP="00573EE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142">
              <w:rPr>
                <w:rFonts w:ascii="Times New Roman" w:hAnsi="Times New Roman" w:cs="Times New Roman"/>
                <w:sz w:val="28"/>
                <w:szCs w:val="28"/>
              </w:rPr>
              <w:t>Programmed Learning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Pr="005E214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573EE2" w:rsidRPr="005E2142" w:rsidRDefault="00573EE2" w:rsidP="00573EE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142">
              <w:rPr>
                <w:rFonts w:ascii="Times New Roman" w:hAnsi="Times New Roman" w:cs="Times New Roman"/>
                <w:sz w:val="28"/>
                <w:szCs w:val="28"/>
              </w:rPr>
              <w:t>Dyslexia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Pr="005E2142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573EE2" w:rsidRPr="005E2142" w:rsidRDefault="00573EE2" w:rsidP="00573EE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142">
              <w:rPr>
                <w:rFonts w:ascii="Times New Roman" w:hAnsi="Times New Roman" w:cs="Times New Roman"/>
                <w:sz w:val="28"/>
                <w:szCs w:val="28"/>
              </w:rPr>
              <w:t>Sw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5E2142">
              <w:rPr>
                <w:rFonts w:ascii="Times New Roman" w:hAnsi="Times New Roman" w:cs="Times New Roman"/>
                <w:sz w:val="28"/>
                <w:szCs w:val="28"/>
              </w:rPr>
              <w:t xml:space="preserve">mi </w:t>
            </w:r>
            <w:proofErr w:type="spellStart"/>
            <w:r w:rsidRPr="005E2142">
              <w:rPr>
                <w:rFonts w:ascii="Times New Roman" w:hAnsi="Times New Roman" w:cs="Times New Roman"/>
                <w:sz w:val="28"/>
                <w:szCs w:val="28"/>
              </w:rPr>
              <w:t>Vivekanand</w:t>
            </w:r>
            <w:proofErr w:type="spellEnd"/>
            <w:r w:rsidRPr="005E2142">
              <w:rPr>
                <w:rFonts w:ascii="Times New Roman" w:hAnsi="Times New Roman" w:cs="Times New Roman"/>
                <w:sz w:val="28"/>
                <w:szCs w:val="28"/>
              </w:rPr>
              <w:t xml:space="preserve"> – His Philosophy of Life</w:t>
            </w:r>
          </w:p>
        </w:tc>
      </w:tr>
      <w:tr w:rsidR="00573EE2" w:rsidTr="00724529">
        <w:tc>
          <w:tcPr>
            <w:tcW w:w="1008" w:type="dxa"/>
          </w:tcPr>
          <w:p w:rsidR="00573EE2" w:rsidRPr="005E2142" w:rsidRDefault="00573EE2" w:rsidP="00573EE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Bhupinderjit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Kaur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Assistant Professor</w:t>
            </w:r>
          </w:p>
        </w:tc>
        <w:tc>
          <w:tcPr>
            <w:tcW w:w="5148" w:type="dxa"/>
          </w:tcPr>
          <w:p w:rsidR="00573EE2" w:rsidRPr="005E2142" w:rsidRDefault="00573EE2" w:rsidP="00573EE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142">
              <w:rPr>
                <w:rFonts w:ascii="Times New Roman" w:hAnsi="Times New Roman" w:cs="Times New Roman"/>
                <w:sz w:val="28"/>
                <w:szCs w:val="28"/>
              </w:rPr>
              <w:t>Unity in Diversity</w:t>
            </w:r>
          </w:p>
        </w:tc>
      </w:tr>
      <w:tr w:rsidR="00573EE2" w:rsidTr="00724529">
        <w:tc>
          <w:tcPr>
            <w:tcW w:w="1008" w:type="dxa"/>
            <w:vMerge w:val="restart"/>
          </w:tcPr>
          <w:p w:rsidR="00573EE2" w:rsidRPr="005E2142" w:rsidRDefault="00573EE2" w:rsidP="00573EE2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Ms.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Rupinder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Kaur</w:t>
            </w:r>
            <w:proofErr w:type="spellEnd"/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73EE2" w:rsidRPr="00482B30" w:rsidRDefault="00573EE2" w:rsidP="007245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B30">
              <w:rPr>
                <w:rFonts w:ascii="Times New Roman" w:hAnsi="Times New Roman" w:cs="Times New Roman"/>
                <w:b/>
                <w:sz w:val="28"/>
                <w:szCs w:val="28"/>
              </w:rPr>
              <w:t>Assistant Professor</w:t>
            </w:r>
          </w:p>
        </w:tc>
        <w:tc>
          <w:tcPr>
            <w:tcW w:w="5148" w:type="dxa"/>
          </w:tcPr>
          <w:p w:rsidR="00573EE2" w:rsidRPr="005E2142" w:rsidRDefault="00573EE2" w:rsidP="00573EE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142">
              <w:rPr>
                <w:rFonts w:ascii="Times New Roman" w:hAnsi="Times New Roman" w:cs="Times New Roman"/>
                <w:sz w:val="28"/>
                <w:szCs w:val="28"/>
              </w:rPr>
              <w:t>Revised Bloom’s Taxonomy</w:t>
            </w:r>
          </w:p>
        </w:tc>
      </w:tr>
      <w:tr w:rsidR="00573EE2" w:rsidTr="00724529">
        <w:tc>
          <w:tcPr>
            <w:tcW w:w="1008" w:type="dxa"/>
            <w:vMerge/>
          </w:tcPr>
          <w:p w:rsidR="00573EE2" w:rsidRPr="005E2142" w:rsidRDefault="00573EE2" w:rsidP="00724529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3420" w:type="dxa"/>
            <w:vMerge/>
          </w:tcPr>
          <w:p w:rsidR="00573EE2" w:rsidRPr="004C4DFD" w:rsidRDefault="00573EE2" w:rsidP="007245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573EE2" w:rsidRPr="005E2142" w:rsidRDefault="00573EE2" w:rsidP="00573EE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142">
              <w:rPr>
                <w:rFonts w:ascii="Times New Roman" w:hAnsi="Times New Roman" w:cs="Times New Roman"/>
                <w:sz w:val="28"/>
                <w:szCs w:val="28"/>
              </w:rPr>
              <w:t>Diagnostic Techniques</w:t>
            </w:r>
          </w:p>
        </w:tc>
      </w:tr>
    </w:tbl>
    <w:p w:rsidR="00573EE2" w:rsidRDefault="00573EE2" w:rsidP="00573EE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73EE2" w:rsidRPr="00B05CAE" w:rsidRDefault="00573EE2" w:rsidP="00573EE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70D57" w:rsidRDefault="00470D57">
      <w:bookmarkStart w:id="0" w:name="_GoBack"/>
      <w:bookmarkEnd w:id="0"/>
    </w:p>
    <w:sectPr w:rsidR="00470D57" w:rsidSect="00482B30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8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2B30" w:rsidRDefault="00573EE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73EE2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82B30" w:rsidRDefault="00573EE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8DA"/>
    <w:multiLevelType w:val="hybridMultilevel"/>
    <w:tmpl w:val="C698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8548B"/>
    <w:multiLevelType w:val="hybridMultilevel"/>
    <w:tmpl w:val="EF0A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1AB6"/>
    <w:multiLevelType w:val="hybridMultilevel"/>
    <w:tmpl w:val="E158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2850"/>
    <w:multiLevelType w:val="hybridMultilevel"/>
    <w:tmpl w:val="BC602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51B3E"/>
    <w:multiLevelType w:val="hybridMultilevel"/>
    <w:tmpl w:val="0142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37222"/>
    <w:multiLevelType w:val="hybridMultilevel"/>
    <w:tmpl w:val="C5EA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33BEB"/>
    <w:multiLevelType w:val="hybridMultilevel"/>
    <w:tmpl w:val="2794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E3ABE"/>
    <w:multiLevelType w:val="hybridMultilevel"/>
    <w:tmpl w:val="232E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C14F5"/>
    <w:multiLevelType w:val="hybridMultilevel"/>
    <w:tmpl w:val="E4D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E2"/>
    <w:rsid w:val="00470D57"/>
    <w:rsid w:val="0057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E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E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3267</Characters>
  <Application>Microsoft Office Word</Application>
  <DocSecurity>0</DocSecurity>
  <Lines>27</Lines>
  <Paragraphs>7</Paragraphs>
  <ScaleCrop>false</ScaleCrop>
  <Company>real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2016-02-20T10:49:00Z</dcterms:created>
  <dcterms:modified xsi:type="dcterms:W3CDTF">2016-02-20T10:50:00Z</dcterms:modified>
</cp:coreProperties>
</file>